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7" w:rsidRDefault="009F0487" w:rsidP="009F0487">
      <w:pPr>
        <w:spacing w:line="560" w:lineRule="exact"/>
        <w:jc w:val="center"/>
        <w:rPr>
          <w:rFonts w:ascii="华文中宋" w:eastAsia="华文中宋" w:hAnsi="华文中宋" w:cs="仿宋" w:hint="eastAsia"/>
          <w:color w:val="000000"/>
          <w:sz w:val="36"/>
          <w:szCs w:val="36"/>
        </w:rPr>
      </w:pPr>
      <w:r>
        <w:rPr>
          <w:rFonts w:ascii="华文中宋" w:eastAsia="华文中宋" w:hAnsi="华文中宋" w:cs="仿宋" w:hint="eastAsia"/>
          <w:color w:val="000000"/>
          <w:sz w:val="36"/>
          <w:szCs w:val="36"/>
        </w:rPr>
        <w:t>建设项目职业病防护设施“三同时”工作公示信息表（TCL环境科技）</w:t>
      </w:r>
    </w:p>
    <w:p w:rsidR="009F0487" w:rsidRPr="00D15176" w:rsidRDefault="009F0487" w:rsidP="009F0487">
      <w:pPr>
        <w:spacing w:line="560" w:lineRule="exact"/>
        <w:jc w:val="center"/>
        <w:rPr>
          <w:rFonts w:ascii="华文中宋" w:eastAsia="华文中宋" w:hAnsi="华文中宋" w:cs="仿宋"/>
          <w:color w:val="000000"/>
          <w:sz w:val="36"/>
          <w:szCs w:val="36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30"/>
        <w:gridCol w:w="2337"/>
      </w:tblGrid>
      <w:tr w:rsidR="009F0487" w:rsidTr="009F04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C31C47">
              <w:rPr>
                <w:rFonts w:ascii="仿宋" w:eastAsia="仿宋" w:hAnsi="仿宋" w:hint="eastAsia"/>
                <w:sz w:val="24"/>
                <w:szCs w:val="24"/>
              </w:rPr>
              <w:t>惠州TCL环境科技有限公司改扩建项目</w:t>
            </w:r>
            <w:bookmarkEnd w:id="0"/>
          </w:p>
        </w:tc>
      </w:tr>
      <w:tr w:rsidR="009F0487" w:rsidTr="009F04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项目地址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1C47">
              <w:rPr>
                <w:rFonts w:ascii="仿宋" w:eastAsia="仿宋" w:hAnsi="仿宋" w:hint="eastAsia"/>
                <w:sz w:val="24"/>
                <w:szCs w:val="24"/>
              </w:rPr>
              <w:t>惠州市仲恺高新区惠环街道西坑工业区</w:t>
            </w:r>
          </w:p>
        </w:tc>
      </w:tr>
      <w:tr w:rsidR="009F0487" w:rsidTr="009F04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项目性质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新建□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改建</w:t>
            </w:r>
            <w:r w:rsidRPr="00C31C47">
              <w:rPr>
                <w:rFonts w:ascii="MS Gothic" w:eastAsia="MS Gothic" w:hAnsi="MS Gothic" w:cs="MS Gothic" w:hint="eastAsia"/>
                <w:sz w:val="24"/>
                <w:szCs w:val="24"/>
              </w:rPr>
              <w:t>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扩建</w:t>
            </w:r>
            <w:r w:rsidRPr="00C31C47">
              <w:rPr>
                <w:rFonts w:ascii="MS Gothic" w:eastAsia="MS Gothic" w:hAnsi="MS Gothic" w:cs="MS Gothic" w:hint="eastAsia"/>
                <w:sz w:val="24"/>
                <w:szCs w:val="24"/>
              </w:rPr>
              <w:t>☑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技术改造□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技术引进□</w:t>
            </w:r>
          </w:p>
        </w:tc>
      </w:tr>
      <w:tr w:rsidR="009F0487" w:rsidTr="009F04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EAE">
              <w:rPr>
                <w:rFonts w:ascii="仿宋" w:eastAsia="仿宋" w:hAnsi="仿宋" w:hint="eastAsia"/>
                <w:sz w:val="24"/>
                <w:szCs w:val="24"/>
              </w:rPr>
              <w:t>陈广明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EAE">
              <w:rPr>
                <w:rFonts w:ascii="仿宋" w:eastAsia="仿宋" w:hAnsi="仿宋"/>
                <w:sz w:val="24"/>
                <w:szCs w:val="24"/>
              </w:rPr>
              <w:t>0752-2786306</w:t>
            </w:r>
          </w:p>
        </w:tc>
      </w:tr>
      <w:tr w:rsidR="009F0487" w:rsidTr="009F04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公示信息类别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职业病危害</w:t>
            </w:r>
            <w:proofErr w:type="gramStart"/>
            <w:r>
              <w:rPr>
                <w:rFonts w:ascii="仿宋" w:eastAsia="仿宋" w:hAnsi="仿宋" w:hint="eastAsia"/>
                <w:sz w:val="24"/>
                <w:szCs w:val="18"/>
              </w:rPr>
              <w:t>预评价</w:t>
            </w:r>
            <w:proofErr w:type="gramEnd"/>
            <w:r>
              <w:rPr>
                <w:rFonts w:ascii="仿宋" w:eastAsia="仿宋" w:hAnsi="仿宋" w:hint="eastAsia"/>
                <w:sz w:val="24"/>
                <w:szCs w:val="18"/>
              </w:rPr>
              <w:t xml:space="preserve">□   </w:t>
            </w:r>
          </w:p>
          <w:p w:rsidR="009F0487" w:rsidRDefault="009F0487" w:rsidP="00305878">
            <w:pPr>
              <w:spacing w:line="460" w:lineRule="exact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职业病防护设施设计</w:t>
            </w:r>
            <w:r w:rsidRPr="00AA5EAE">
              <w:rPr>
                <w:rFonts w:ascii="MS Gothic" w:eastAsia="MS Gothic" w:hAnsi="MS Gothic" w:cs="MS Gothic" w:hint="eastAsia"/>
                <w:sz w:val="24"/>
                <w:szCs w:val="18"/>
              </w:rPr>
              <w:t>☑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  </w:t>
            </w:r>
          </w:p>
          <w:p w:rsidR="009F0487" w:rsidRDefault="009F0487" w:rsidP="00305878">
            <w:pPr>
              <w:spacing w:line="46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控制效果评价与职业病防护设施验收□</w:t>
            </w:r>
          </w:p>
        </w:tc>
      </w:tr>
      <w:tr w:rsidR="009F0487" w:rsidTr="009F0487">
        <w:trPr>
          <w:trHeight w:val="1135"/>
          <w:jc w:val="center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职业病防护设施设计单位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4B4">
              <w:rPr>
                <w:rFonts w:ascii="仿宋" w:eastAsia="仿宋" w:hAnsi="仿宋" w:hint="eastAsia"/>
                <w:sz w:val="24"/>
                <w:szCs w:val="24"/>
              </w:rPr>
              <w:t>福建省石油化学工业设计院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联系人及</w:t>
            </w:r>
          </w:p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487" w:rsidRDefault="009F0487" w:rsidP="00305878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74B4">
              <w:rPr>
                <w:rFonts w:ascii="仿宋" w:eastAsia="仿宋" w:hAnsi="仿宋" w:hint="eastAsia"/>
                <w:sz w:val="24"/>
                <w:szCs w:val="24"/>
              </w:rPr>
              <w:t>黄春燕18927521693</w:t>
            </w:r>
          </w:p>
        </w:tc>
      </w:tr>
      <w:tr w:rsidR="009F0487" w:rsidTr="009F0487">
        <w:trPr>
          <w:trHeight w:val="3437"/>
          <w:jc w:val="center"/>
        </w:trPr>
        <w:tc>
          <w:tcPr>
            <w:tcW w:w="8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（验收）情况（包括评审验收时间、主持人、评审验收人员、评价结论、评审及验收意见等）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惠州TCL环境科技有限公司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于2019年5月14日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在广州市越秀区东峻广场3座1104-1106会议室组织3名职业卫生专家组成专家组（刘保卫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范银华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符日荣）。对《惠州TCL环境科技有限公司改扩建项目职业病防护设施设计专篇》（以下简称《职卫设计专篇》）进行了技术审查，会议由惠州TCL环境科技</w:t>
            </w:r>
            <w:proofErr w:type="gramStart"/>
            <w:r w:rsidRPr="0037163E">
              <w:rPr>
                <w:rFonts w:ascii="仿宋" w:eastAsia="仿宋" w:hAnsi="仿宋" w:hint="eastAsia"/>
                <w:sz w:val="24"/>
                <w:szCs w:val="24"/>
              </w:rPr>
              <w:t>有限公司环安部</w:t>
            </w:r>
            <w:proofErr w:type="gramEnd"/>
            <w:r w:rsidRPr="0037163E">
              <w:rPr>
                <w:rFonts w:ascii="仿宋" w:eastAsia="仿宋" w:hAnsi="仿宋" w:hint="eastAsia"/>
                <w:sz w:val="24"/>
                <w:szCs w:val="24"/>
              </w:rPr>
              <w:t>代表主持。专家组听取了建设单位对该项目的介绍和设计单位对《职卫设计专篇》的汇报，审阅了《职卫设计专篇》等相关文件资料，并进行了咨询，经过讨论形成如下审查意见：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一、《职卫设计专篇》编制的评价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1、设计依据较全面、有效；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2、建设项目概述清晰，可能产生职业病危害因素的工作场所、工艺设备、原辅材料等</w:t>
            </w:r>
            <w:proofErr w:type="gramStart"/>
            <w:r w:rsidRPr="0037163E">
              <w:rPr>
                <w:rFonts w:ascii="仿宋" w:eastAsia="仿宋" w:hAnsi="仿宋" w:hint="eastAsia"/>
                <w:sz w:val="24"/>
                <w:szCs w:val="24"/>
              </w:rPr>
              <w:t>描述较</w:t>
            </w:r>
            <w:proofErr w:type="gramEnd"/>
            <w:r w:rsidRPr="0037163E">
              <w:rPr>
                <w:rFonts w:ascii="仿宋" w:eastAsia="仿宋" w:hAnsi="仿宋" w:hint="eastAsia"/>
                <w:sz w:val="24"/>
                <w:szCs w:val="24"/>
              </w:rPr>
              <w:t>准确；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 xml:space="preserve">3、建设项目可能产生的职业病危害因素的种类、接触人数及水平分析准确； 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4、职业病防护设施和有关防控措施设计较合理、可行；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proofErr w:type="gramStart"/>
            <w:r w:rsidRPr="0037163E">
              <w:rPr>
                <w:rFonts w:ascii="仿宋" w:eastAsia="仿宋" w:hAnsi="仿宋" w:hint="eastAsia"/>
                <w:sz w:val="24"/>
                <w:szCs w:val="24"/>
              </w:rPr>
              <w:t>辅助用室及</w:t>
            </w:r>
            <w:proofErr w:type="gramEnd"/>
            <w:r w:rsidRPr="0037163E">
              <w:rPr>
                <w:rFonts w:ascii="仿宋" w:eastAsia="仿宋" w:hAnsi="仿宋" w:hint="eastAsia"/>
                <w:sz w:val="24"/>
                <w:szCs w:val="24"/>
              </w:rPr>
              <w:t>卫生设施的设置情况符合相关要求；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6、职业病防治管理措施合理；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7、应急救援设施基本可行；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8、职业病防护设施投资预算基本满足要求；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9、对预评价报告中职业病危害控制措施、防治对策已采纳；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10、预期效果分析正确。</w:t>
            </w:r>
          </w:p>
          <w:p w:rsidR="009F0487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二、《职卫设计专篇》的修改意见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1、进一步明确本次设计范围；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2、明确一期已有的防护设施以及本次改扩建新增的防护设施，并评价能否满足防护要求；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3、补充改扩建后的职业危害应急设施、措施设计；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4、细化职业病个体防护用品的设计内容；</w:t>
            </w:r>
          </w:p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5、落实专家提出的其他个人建议。</w:t>
            </w:r>
          </w:p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0487" w:rsidTr="009F0487">
        <w:trPr>
          <w:trHeight w:val="2256"/>
          <w:jc w:val="center"/>
        </w:trPr>
        <w:tc>
          <w:tcPr>
            <w:tcW w:w="8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评审（验收）意见的</w:t>
            </w:r>
            <w:r>
              <w:rPr>
                <w:rFonts w:ascii="仿宋" w:eastAsia="仿宋" w:hAnsi="仿宋"/>
                <w:sz w:val="24"/>
                <w:szCs w:val="24"/>
              </w:rPr>
              <w:t>整改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</w:t>
            </w:r>
            <w:r>
              <w:rPr>
                <w:rFonts w:ascii="仿宋" w:eastAsia="仿宋" w:hAnsi="仿宋"/>
                <w:sz w:val="24"/>
                <w:szCs w:val="24"/>
              </w:rPr>
              <w:t>情况：</w:t>
            </w:r>
          </w:p>
          <w:p w:rsidR="009F0487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37163E">
              <w:rPr>
                <w:rFonts w:ascii="仿宋" w:eastAsia="仿宋" w:hAnsi="仿宋" w:hint="eastAsia"/>
                <w:sz w:val="24"/>
                <w:szCs w:val="24"/>
              </w:rPr>
              <w:t>评价单位于201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日按专家评审意见完成本项目职业病防护设施设计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专篇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的修改与完善，于201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日通过专家组复核。具体修改内容详见本项目“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</w:t>
            </w:r>
            <w:proofErr w:type="gramStart"/>
            <w:r w:rsidRPr="0037163E">
              <w:rPr>
                <w:rFonts w:ascii="仿宋" w:eastAsia="仿宋" w:hAnsi="仿宋" w:hint="eastAsia"/>
                <w:sz w:val="24"/>
                <w:szCs w:val="24"/>
              </w:rPr>
              <w:t>査</w:t>
            </w:r>
            <w:proofErr w:type="gramEnd"/>
            <w:r w:rsidRPr="0037163E">
              <w:rPr>
                <w:rFonts w:ascii="仿宋" w:eastAsia="仿宋" w:hAnsi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整改落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</w:t>
            </w:r>
            <w:r w:rsidRPr="0037163E">
              <w:rPr>
                <w:rFonts w:ascii="仿宋" w:eastAsia="仿宋" w:hAnsi="仿宋" w:hint="eastAsia"/>
                <w:sz w:val="24"/>
                <w:szCs w:val="24"/>
              </w:rPr>
              <w:t>情況表”。</w:t>
            </w:r>
          </w:p>
          <w:p w:rsidR="009F0487" w:rsidRPr="0037163E" w:rsidRDefault="009F0487" w:rsidP="0030587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34A59" w:rsidRPr="009F0487" w:rsidRDefault="009F0487">
      <w:r>
        <w:rPr>
          <w:rFonts w:ascii="仿宋" w:eastAsia="仿宋" w:hAnsi="仿宋" w:hint="eastAsia"/>
          <w:sz w:val="24"/>
          <w:szCs w:val="24"/>
        </w:rPr>
        <w:t>制表人：</w:t>
      </w:r>
      <w:proofErr w:type="gramStart"/>
      <w:r>
        <w:rPr>
          <w:rFonts w:ascii="仿宋" w:eastAsia="仿宋" w:hAnsi="仿宋" w:hint="eastAsia"/>
          <w:sz w:val="24"/>
          <w:szCs w:val="24"/>
        </w:rPr>
        <w:t>赵悦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      制表日期： 2019.06.03</w:t>
      </w:r>
      <w:r>
        <w:rPr>
          <w:rFonts w:ascii="仿宋" w:eastAsia="仿宋" w:hAnsi="仿宋" w:hint="eastAsia"/>
          <w:sz w:val="24"/>
          <w:szCs w:val="24"/>
        </w:rPr>
        <w:t xml:space="preserve">    联系电话：13516698932</w:t>
      </w:r>
    </w:p>
    <w:sectPr w:rsidR="00B34A59" w:rsidRPr="009F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F8" w:rsidRDefault="008262F8" w:rsidP="009F0487">
      <w:r>
        <w:separator/>
      </w:r>
    </w:p>
  </w:endnote>
  <w:endnote w:type="continuationSeparator" w:id="0">
    <w:p w:rsidR="008262F8" w:rsidRDefault="008262F8" w:rsidP="009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F8" w:rsidRDefault="008262F8" w:rsidP="009F0487">
      <w:r>
        <w:separator/>
      </w:r>
    </w:p>
  </w:footnote>
  <w:footnote w:type="continuationSeparator" w:id="0">
    <w:p w:rsidR="008262F8" w:rsidRDefault="008262F8" w:rsidP="009F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56"/>
    <w:rsid w:val="008262F8"/>
    <w:rsid w:val="009F0487"/>
    <w:rsid w:val="00B34A59"/>
    <w:rsid w:val="00E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赵悦</dc:creator>
  <cp:keywords/>
  <dc:description/>
  <cp:lastModifiedBy>赵悦</cp:lastModifiedBy>
  <cp:revision>2</cp:revision>
  <dcterms:created xsi:type="dcterms:W3CDTF">2019-05-31T07:19:00Z</dcterms:created>
  <dcterms:modified xsi:type="dcterms:W3CDTF">2019-05-31T07:21:00Z</dcterms:modified>
</cp:coreProperties>
</file>